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D79" w:rsidRPr="00242D79" w:rsidRDefault="00242D79" w:rsidP="00242D7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bookmarkStart w:id="0" w:name="_GoBack"/>
      <w:r w:rsidRPr="00242D79">
        <w:rPr>
          <w:rFonts w:ascii="Trebuchet MS" w:eastAsia="Times New Roman" w:hAnsi="Trebuchet MS" w:cs="Times New Roman"/>
          <w:i/>
          <w:iCs/>
          <w:color w:val="038CC0"/>
          <w:sz w:val="18"/>
          <w:szCs w:val="18"/>
          <w:lang w:eastAsia="ru-RU"/>
        </w:rPr>
        <w:t>Как правильно снимать показания водосчетчиков?</w:t>
      </w:r>
    </w:p>
    <w:bookmarkEnd w:id="0"/>
    <w:p w:rsidR="00242D79" w:rsidRPr="00242D79" w:rsidRDefault="00242D79" w:rsidP="00242D79">
      <w:pPr>
        <w:shd w:val="clear" w:color="auto" w:fill="FFFFFF"/>
        <w:spacing w:before="100" w:beforeAutospacing="1" w:after="0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42D79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lang w:eastAsia="ru-RU"/>
        </w:rPr>
        <w:t>Ответ:</w:t>
      </w:r>
    </w:p>
    <w:p w:rsidR="00242D79" w:rsidRPr="00242D79" w:rsidRDefault="00242D79" w:rsidP="00242D7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42D79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Индивидуальные приборы учета воды могут быть электронными или механическими. Наибольшей популярностью пользуются именно механические счетчики ввиду их относительно низкой цены.</w:t>
      </w:r>
    </w:p>
    <w:p w:rsidR="00242D79" w:rsidRPr="00242D79" w:rsidRDefault="00242D79" w:rsidP="00242D7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42D79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Конструкции лицевой панели различных водосчетчиков могут незначительно различаться, но, как правило, они во многом схожи. Обычно на панели располагаются: инвентарный номер счетчика, название серийной модели, рабочие характеристики, круговая шкала (у механических счетчиков) и табло с цифрами — электронное или механическое.</w:t>
      </w:r>
    </w:p>
    <w:p w:rsidR="00242D79" w:rsidRPr="00242D79" w:rsidRDefault="00242D79" w:rsidP="00242D7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42D79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Итак, как правильно снимать показания водосчетчиков? Целые кубы обычно обозначаются черным цветом и располагаются слева от запятой — вне зависимости от количества цифр, которое может отобразить табло счетчика. Доли кубов обычно отделены запятой и могут быть выделены красным цветом. Для передачи показаний вам понадобятся целые кубы.</w:t>
      </w:r>
    </w:p>
    <w:p w:rsidR="00242D79" w:rsidRPr="00242D79" w:rsidRDefault="00242D79" w:rsidP="00242D7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42D79">
        <w:rPr>
          <w:rFonts w:ascii="Trebuchet MS" w:eastAsia="Times New Roman" w:hAnsi="Trebuchet MS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5238750" cy="4657725"/>
            <wp:effectExtent l="0" t="0" r="0" b="9525"/>
            <wp:docPr id="1" name="Рисунок 1" descr="http://www.dez-s.ru/upload/documents/v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ez-s.ru/upload/documents/vod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E36" w:rsidRDefault="00FD4E36" w:rsidP="00242D79"/>
    <w:sectPr w:rsidR="00FD4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79"/>
    <w:rsid w:val="00242D79"/>
    <w:rsid w:val="00FD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5398F"/>
  <w15:chartTrackingRefBased/>
  <w15:docId w15:val="{ADAEC9C7-FAAE-40C2-9A86-A2721EF3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D79"/>
    <w:rPr>
      <w:b/>
      <w:bCs/>
    </w:rPr>
  </w:style>
  <w:style w:type="character" w:styleId="a5">
    <w:name w:val="Emphasis"/>
    <w:basedOn w:val="a0"/>
    <w:uiPriority w:val="20"/>
    <w:qFormat/>
    <w:rsid w:val="00242D79"/>
    <w:rPr>
      <w:i/>
      <w:iCs/>
    </w:rPr>
  </w:style>
  <w:style w:type="character" w:styleId="a6">
    <w:name w:val="Hyperlink"/>
    <w:basedOn w:val="a0"/>
    <w:uiPriority w:val="99"/>
    <w:semiHidden/>
    <w:unhideWhenUsed/>
    <w:rsid w:val="00242D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5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Зоркий</dc:creator>
  <cp:keywords/>
  <dc:description/>
  <cp:lastModifiedBy>Зоркий</cp:lastModifiedBy>
  <cp:revision>2</cp:revision>
  <dcterms:created xsi:type="dcterms:W3CDTF">2019-01-08T17:37:00Z</dcterms:created>
  <dcterms:modified xsi:type="dcterms:W3CDTF">2019-01-08T17:37:00Z</dcterms:modified>
</cp:coreProperties>
</file>